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98876953125" w:line="240" w:lineRule="auto"/>
        <w:ind w:left="7.727966308593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598876953125" w:line="240" w:lineRule="auto"/>
        <w:ind w:left="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Specification No: MEX721 </w:t>
      </w:r>
    </w:p>
    <w:tbl>
      <w:tblPr>
        <w:tblStyle w:val="Table1"/>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3.920440673828"/>
        <w:tblGridChange w:id="0">
          <w:tblGrid>
            <w:gridCol w:w="9063.920440673828"/>
          </w:tblGrid>
        </w:tblGridChange>
      </w:tblGrid>
      <w:tr>
        <w:trPr>
          <w:cantSplit w:val="0"/>
          <w:trHeight w:val="11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48803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General 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Product name: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Pecan nuts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Type: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Halves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5.7984924316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Origin: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Mexican</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3.920440673828"/>
        <w:tblGridChange w:id="0">
          <w:tblGrid>
            <w:gridCol w:w="9063.920440673828"/>
          </w:tblGrid>
        </w:tblGridChange>
      </w:tblGrid>
      <w:tr>
        <w:trPr>
          <w:cantSplit w:val="0"/>
          <w:trHeight w:val="3502.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48803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General Requirements: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9580078125" w:lineRule="auto"/>
              <w:ind w:left="124.031982421875" w:right="163.309326171875" w:firstLine="9.71527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Description: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Mexican pecan nuts halves consists of shelled pecans of selected type pecans or of  similar varietal characteristics which are whole and free from foreign material, damage and minor  defects.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3.38141441345215" w:lineRule="auto"/>
              <w:ind w:left="125.57769775390625" w:right="671.7364501953125" w:hanging="6.6239929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Appearance: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Kernels are not darker than amber in colour, fairly uniform in colour, fairly well  developed and fairly uniform in size.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5.7984924316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Odour: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Natural pecan odour without stale or foreign odours.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7294921875"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Flavour: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Natural pecan flavour without stale or foreign flavours.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Structure: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Kernels are firm, not brittle, pliable or leathery.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Intended use: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For further processing (human consumption).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Shelf life: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years after production date*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7.1232604980468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GMO free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4.031982421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Radiation free</w:t>
            </w:r>
          </w:p>
        </w:tc>
      </w:tr>
      <w:tr>
        <w:trPr>
          <w:cantSplit w:val="0"/>
          <w:trHeight w:val="8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448303222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Sizes: Count per kg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33.74725341796875" w:right="571.44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Mammoth Halves 443-552, Jr. Mammoth Halves 553-662, Jumbo Halves 663-772, Extra Large  Halves 773-992, Large Halves 993-1212, Medium Halves 1213-1432.</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1806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Ingredients: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Pecan nuts</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959716796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only under correct storage conditions. </w:t>
      </w:r>
    </w:p>
    <w:tbl>
      <w:tblPr>
        <w:tblStyle w:val="Table3"/>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1277.2003173828125"/>
        <w:gridCol w:w="1132.7996826171875"/>
        <w:gridCol w:w="1277.39990234375"/>
        <w:gridCol w:w="1128.00048828125"/>
        <w:tblGridChange w:id="0">
          <w:tblGrid>
            <w:gridCol w:w="4248.520050048828"/>
            <w:gridCol w:w="1277.2003173828125"/>
            <w:gridCol w:w="1132.7996826171875"/>
            <w:gridCol w:w="1277.39990234375"/>
            <w:gridCol w:w="1128.00048828125"/>
          </w:tblGrid>
        </w:tblGridChange>
      </w:tblGrid>
      <w:tr>
        <w:trPr>
          <w:cantSplit w:val="0"/>
          <w:trHeight w:val="54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180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Physical requirements: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Value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Fancy*</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Value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Dimension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Tolerance</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Shell (halves)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Broken*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456054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Damages*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 colour skin damage (Dark Amber-Darker)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Serious damage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8.831939697265625" w:right="73.321533203125" w:firstLine="17.6640319824218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1</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Total broken includes max 5% less than half kernels and max 1% particles and dust.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2</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Fancy halves will be fairly-uniform in colour. All other grades (Choice Halves, Fancy Pieces, Choice  Pieces) do not require the kernel’s to be uniform in colour.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62.39514350891113" w:lineRule="auto"/>
        <w:ind w:left="6.84478759765625" w:right="323.9093017578125" w:firstLine="19.651184082031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3</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For Fancy and unused portion of the 3% tolerance for damage may be used to increase the  tolerance for damage by skin colour. Damaged consists of adhering material from inside the shell,  dust or dirt, kernels not well dried, kernels having more than one dark kernels spot, shrivelling,  internal flesh discolouration and poorly developed kernels. </w:t>
      </w:r>
    </w:p>
    <w:tbl>
      <w:tblPr>
        <w:tblStyle w:val="Table4"/>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4.120025634766"/>
        <w:gridCol w:w="1132.80029296875"/>
        <w:gridCol w:w="1277.39990234375"/>
        <w:gridCol w:w="1269.6002197265625"/>
        <w:tblGridChange w:id="0">
          <w:tblGrid>
            <w:gridCol w:w="5384.120025634766"/>
            <w:gridCol w:w="1132.80029296875"/>
            <w:gridCol w:w="1277.39990234375"/>
            <w:gridCol w:w="1269.6002197265625"/>
          </w:tblGrid>
        </w:tblGridChange>
      </w:tblGrid>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18774414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Chemical requirements: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Dimension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Tolerance</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3704833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Aflatoxin B1*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µg / 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3704833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Aflatoxin B1+B2+G1+G2*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µg / 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Moisture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Max.</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959716796875"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Parameters according EU regulation (EC) No 1881/2006 (consolidated version).</w:t>
      </w:r>
    </w:p>
    <w:tbl>
      <w:tblPr>
        <w:tblStyle w:val="Table5"/>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3.920440673828"/>
        <w:tblGridChange w:id="0">
          <w:tblGrid>
            <w:gridCol w:w="9063.920440673828"/>
          </w:tblGrid>
        </w:tblGridChange>
      </w:tblGrid>
      <w:tr>
        <w:trPr>
          <w:cantSplit w:val="0"/>
          <w:trHeight w:val="278.39874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18774414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Other requirements:</w:t>
            </w:r>
          </w:p>
        </w:tc>
      </w:tr>
      <w:tr>
        <w:trPr>
          <w:cantSplit w:val="0"/>
          <w:trHeight w:val="529.120788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83724975586" w:lineRule="auto"/>
              <w:ind w:left="133.74725341796875" w:right="1493.51135253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Microbiology: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According to EU regulation (EC) No 2073/2005 (consolidated version) Pesticides: According to EU regulation (EC) No 396/2005 (consolidated version)</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Version: 1 Date: 7-12-2022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Specification No: MEX721 </w:t>
      </w:r>
    </w:p>
    <w:tbl>
      <w:tblPr>
        <w:tblStyle w:val="Table6"/>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4.120025634766"/>
        <w:gridCol w:w="1132.80029296875"/>
        <w:gridCol w:w="1277.39990234375"/>
        <w:gridCol w:w="1269.6002197265625"/>
        <w:tblGridChange w:id="0">
          <w:tblGrid>
            <w:gridCol w:w="5384.120025634766"/>
            <w:gridCol w:w="1132.80029296875"/>
            <w:gridCol w:w="1277.39990234375"/>
            <w:gridCol w:w="1269.6002197265625"/>
          </w:tblGrid>
        </w:tblGridChange>
      </w:tblGrid>
      <w:tr>
        <w:trPr>
          <w:cantSplit w:val="0"/>
          <w:trHeight w:val="27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180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Nutritional values: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Dimension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Tolerance</w:t>
            </w:r>
          </w:p>
        </w:tc>
      </w:tr>
      <w:tr>
        <w:trPr>
          <w:cantSplit w:val="0"/>
          <w:trHeight w:val="2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2890/691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KJ/Kcal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Lipid (fat)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Of which saturated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Of which monounsaturated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Of which polyunsaturated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Of which trans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697753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Carbohydrates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Of which sugars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g</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Sodium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100gr</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959716796875"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Based on: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FoodData Central (usda.gov)</w:t>
      </w:r>
    </w:p>
    <w:tbl>
      <w:tblPr>
        <w:tblStyle w:val="Table7"/>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5201721191406"/>
        <w:gridCol w:w="2834.7998046875"/>
        <w:gridCol w:w="2688.6004638671875"/>
        <w:tblGridChange w:id="0">
          <w:tblGrid>
            <w:gridCol w:w="3540.5201721191406"/>
            <w:gridCol w:w="2834.7998046875"/>
            <w:gridCol w:w="2688.6004638671875"/>
          </w:tblGrid>
        </w:tblGridChange>
      </w:tblGrid>
      <w:tr>
        <w:trPr>
          <w:cantSplit w:val="0"/>
          <w:trHeight w:val="27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287841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Allergens: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Allergens contained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Cross-contamination</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Milk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Eggs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Nuts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153137207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Groundnuts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Wheat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Fish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697753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Crustaceans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Molluscs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Sulphite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Soy and product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2800903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Sesame seeds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Mustard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697753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Celery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Lupins and products thereof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8"/>
        <w:tblW w:w="10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1000"/>
        <w:gridCol w:w="1060"/>
        <w:gridCol w:w="1140"/>
        <w:gridCol w:w="960"/>
        <w:gridCol w:w="880"/>
        <w:gridCol w:w="780"/>
        <w:tblGridChange w:id="0">
          <w:tblGrid>
            <w:gridCol w:w="4680"/>
            <w:gridCol w:w="1000"/>
            <w:gridCol w:w="1060"/>
            <w:gridCol w:w="1140"/>
            <w:gridCol w:w="960"/>
            <w:gridCol w:w="880"/>
            <w:gridCol w:w="78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BE">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B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C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C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38">
      <w:pPr>
        <w:widowControl w:val="0"/>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9063.920440673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3.920440673828"/>
        <w:tblGridChange w:id="0">
          <w:tblGrid>
            <w:gridCol w:w="9063.920440673828"/>
          </w:tblGrid>
        </w:tblGridChange>
      </w:tblGrid>
      <w:tr>
        <w:trPr>
          <w:cantSplit w:val="0"/>
          <w:trHeight w:val="2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448303222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Storage conditions:</w:t>
            </w:r>
          </w:p>
        </w:tc>
      </w:tr>
      <w:tr>
        <w:trPr>
          <w:cantSplit w:val="0"/>
          <w:trHeight w:val="135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6.74560546875" w:right="269.70275878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product should be stored on pallets in a dark, clean, dry and well-ventilated storage facility. The facility should be free from foreign smell, free of pests and their residues and away from the  wall, at least 0,5m away from heaters, sewers and water supply pipes.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801555633545" w:lineRule="auto"/>
              <w:ind w:left="125.1361083984375" w:right="240.933837890625" w:hanging="6.18240356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dvises storage temperature: 8-14 °C. Relative humidity should not exceed 75%. Store  at a temperature not exceeding 20°C.</w:t>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765.6000518798828" w:top="330.001220703125" w:left="1416.4799499511719" w:right="1415.04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